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C43EB" w:rsidRPr="008C43EB" w14:paraId="59F39C24" w14:textId="77777777" w:rsidTr="008C43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8C43EB" w:rsidRPr="008C43EB" w14:paraId="2C604627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5"/>
                  </w:tblGrid>
                  <w:tr w:rsidR="008C43EB" w:rsidRPr="008C43EB" w14:paraId="32B58B39" w14:textId="77777777" w:rsidTr="008C43EB">
                    <w:trPr>
                      <w:tblCellSpacing w:w="15" w:type="dxa"/>
                    </w:trPr>
                    <w:tc>
                      <w:tcPr>
                        <w:tcW w:w="5000" w:type="pct"/>
                        <w:hideMark/>
                      </w:tcPr>
                      <w:p w14:paraId="571140C6" w14:textId="082CB21F" w:rsidR="008C43EB" w:rsidRPr="008C43EB" w:rsidRDefault="008C43EB" w:rsidP="008C43EB">
                        <w:pPr>
                          <w:spacing w:before="100" w:beforeAutospacing="1" w:after="24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Положение о проекте «Школа правового просвещения»</w:t>
                        </w:r>
                      </w:p>
                      <w:p w14:paraId="4BEEBF79" w14:textId="77777777" w:rsidR="008C43EB" w:rsidRPr="008C43EB" w:rsidRDefault="008C43EB" w:rsidP="008C43EB">
                        <w:pPr>
                          <w:spacing w:before="100" w:beforeAutospacing="1" w:after="24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Общие положения</w:t>
                        </w:r>
                      </w:p>
                      <w:p w14:paraId="2134731B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Школьный возраст является значимым периодом формирования правовой культуры. Ребенок узнает много о правовых отношениях между людьми: возникает осознание себя субъектом права, т.е. правосознание гражданина. В школьном возрасте ребенок вступает в межличностные отношения, новые для него, и ему необходимо делать выбор. Этот выбор зависит от многих факторов. И от того, насколько человек способен делать выбор, зависит его гражданская позиция. Актуальной является необходимость разъяснять подросткам и их законным представителем, работникам учреждения права, обязанности и ответственность, которыми они обладают в соответствии с законодательством Республики Беларусь; осуществлять консультирование по правовых вопросам; оказывать содействие в определении форм устройства и поддержки несовершеннолетних, нуждающихся в помощи государства; в организации досуга и занятости обучающихся.</w:t>
                        </w:r>
                      </w:p>
                      <w:p w14:paraId="743086BB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>Правовая культура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– общий уровень знаний и объективное отношение общества к праву; совокупность правовых знаний в виде норм, убеждений и установок, создаваемых в процессе жизнедеятельности и регламентирующих правила взаимодействия личности, социальной, этнической, профессиональной группы, общества, государства и оформленных в виде законодательных актов. Проявляется в труде, общении и поведении субъектов взаимодействия. Формируется под воздействием системы культурного и правового воспитания и обучения.</w:t>
                        </w:r>
                      </w:p>
                      <w:p w14:paraId="04ADAF6B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>Правовое воспитание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– это система мер, направленных на формирование правовых идей, норм, принципов, представляющих ценности мировой и национальной правовой культуры.</w:t>
                        </w:r>
                      </w:p>
                      <w:p w14:paraId="162F5C89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В содержание правового воспитания и выполнения гражданских обязанностей входит правовое отношение к государству, к труду, к семье, к общественности, государственной и частной собственности. Каждый выпускник школы должен усвоить нормы и правила поведения в обществе, свои права и обязанности, основные положения о труде, о браке, регулирующие отношения родителей к детям и детей к родителям, законодательство о здравоохранении, основные положения гражданского и уголовного кодекса законов.</w:t>
                        </w:r>
                      </w:p>
                      <w:p w14:paraId="31FDC43E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Основной 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>целью</w:t>
                        </w: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 проекта «Школа правового просвещения» (далее проект) является содействие созданию в учреждении образования эффективной системы правового воспитания и просвещения обучающихся, субъектов образовательного процесса, способствующей снижению уровня правонарушений и преступлений.</w:t>
                        </w:r>
                      </w:p>
                      <w:p w14:paraId="6F5E5B82" w14:textId="77777777" w:rsidR="008C43EB" w:rsidRPr="008C43EB" w:rsidRDefault="008C43EB" w:rsidP="008C43EB">
                        <w:pPr>
                          <w:spacing w:after="0"/>
                          <w:ind w:firstLine="72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Основными 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>задачами</w:t>
                        </w: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 проекта являются:</w:t>
                        </w:r>
                      </w:p>
                      <w:p w14:paraId="11E97407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1. Правовое просвещение субъектов образовательных отношений.</w:t>
                        </w:r>
                      </w:p>
                      <w:p w14:paraId="4414F64D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2. Координация деятельности педагогических работников по правовому просвещению и формированию законопослушного поведения несовершеннолетних.</w:t>
                        </w:r>
                      </w:p>
                      <w:p w14:paraId="7339C5EE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3. Популяризация идей нормативных и правовых документов через проведение социально значимых акций, образовательных и творческих мероприятий.</w:t>
                        </w:r>
                      </w:p>
                      <w:p w14:paraId="0A6B3320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lastRenderedPageBreak/>
                          <w:t>4. Формирование у обучающихся потребности в безопасной жизнедеятельности и соблюдении правовых норм как основы способности противостоять вредным привычкам и негативным тенденциям.</w:t>
                        </w:r>
                      </w:p>
                      <w:p w14:paraId="4D95093F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5. Организация эффективного взаимодействия всех заинтересованных структур и ведомств в работе с обучающимися, требующими особого педагогического внимания.</w:t>
                        </w:r>
                      </w:p>
                      <w:p w14:paraId="69909FAF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6. Создание в учреждении образования социально безопасной среды для детей и подростков в рамках правового поля Республики Беларусь.</w:t>
                        </w:r>
                      </w:p>
                      <w:p w14:paraId="107DF08E" w14:textId="77777777" w:rsidR="008C43EB" w:rsidRDefault="008C43EB" w:rsidP="008C43EB">
                        <w:pPr>
                          <w:spacing w:after="0"/>
                          <w:rPr>
                            <w:rFonts w:eastAsia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14:paraId="6C4AE8B2" w14:textId="4A8237F3" w:rsidR="008C43EB" w:rsidRDefault="008C43EB" w:rsidP="008C43EB">
                        <w:pPr>
                          <w:spacing w:after="0"/>
                          <w:rPr>
                            <w:rFonts w:eastAsia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Проект реализуется в течение 2020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8C43EB">
                          <w:rPr>
                            <w:rFonts w:eastAsia="Times New Roman" w:cs="Times New Roman"/>
                            <w:sz w:val="32"/>
                            <w:szCs w:val="32"/>
                            <w:lang w:eastAsia="ru-RU"/>
                          </w:rPr>
                          <w:t>-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2021 годов.</w:t>
                        </w:r>
                      </w:p>
                      <w:p w14:paraId="00A9403F" w14:textId="77777777" w:rsidR="008C43EB" w:rsidRPr="008C43EB" w:rsidRDefault="008C43EB" w:rsidP="008C43EB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10CDD2A1" w14:textId="77777777" w:rsidR="008C43EB" w:rsidRPr="008C43EB" w:rsidRDefault="008C43EB" w:rsidP="008C43EB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Порядок реализации </w:t>
                        </w:r>
                        <w:r w:rsidRPr="008C43EB">
                          <w:rPr>
                            <w:rFonts w:eastAsia="Times New Roman" w:cs="Times New Roman"/>
                            <w:sz w:val="32"/>
                            <w:szCs w:val="32"/>
                            <w:lang w:eastAsia="ru-RU"/>
                          </w:rPr>
                          <w:t>проекта.</w:t>
                        </w:r>
                      </w:p>
                      <w:p w14:paraId="43161592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1. Проект реализуется в каждом учреждении образования области в соответствии с настоящим Положением.</w:t>
                        </w:r>
                      </w:p>
                      <w:p w14:paraId="41466CE3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2. В работе проекта принимают участие (эксперты) заместители председателей комиссий по делам несовершеннолетних, сотрудники правоохранительных и судебных органов, прокуратуры, представители системы здравоохранения, отделов образования, спорта и туризма (отделов образования) администраций районов г Гомеля, управления образования, социально – педагогических центров, студенты ВУЗов, обучающиеся по специализации юридического профиля и т.д.</w:t>
                        </w:r>
                      </w:p>
                      <w:p w14:paraId="45CC1B0E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3. Мероприятия в рамках проекта проводятся в течение 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>первой декады каждого месяца по теме, актуальной для учреждения образования или по предложенной тематике (приложение).</w:t>
                        </w:r>
                      </w:p>
                      <w:p w14:paraId="4236B2B7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 xml:space="preserve">4. Анонс о дате, месте и времени проведения мероприятия, приглашенном госте (эксперте) размещается на информационном стенде, официальном сайте учреждение </w:t>
                        </w:r>
                        <w:proofErr w:type="spellStart"/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образования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>не</w:t>
                        </w:r>
                        <w:proofErr w:type="spellEnd"/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 xml:space="preserve"> позднее первого числа каждого месяца.</w:t>
                        </w:r>
                      </w:p>
                      <w:p w14:paraId="4772ED06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5. Информацию о проведенном мероприятии размещается на официальном сайте учреждения образования в течение двух дней после его проведения.</w:t>
                        </w:r>
                      </w:p>
                      <w:p w14:paraId="1EFBD127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6. 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>Форму проведения</w:t>
                        </w: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 мероприятия, 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>категорию аудитории</w:t>
                        </w: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 (учащиеся, законные представители, педагогические работники) определяет учреждение образования после согласования с приглашенным экспертом.</w:t>
                        </w:r>
                      </w:p>
                      <w:p w14:paraId="3D939411" w14:textId="77777777" w:rsidR="008C43EB" w:rsidRPr="008C43EB" w:rsidRDefault="008C43EB" w:rsidP="008C43EB">
                        <w:pPr>
                          <w:spacing w:after="0"/>
                          <w:ind w:firstLine="720"/>
                          <w:jc w:val="both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7. </w:t>
                        </w:r>
                        <w:r w:rsidRPr="008C43EB">
                          <w:rPr>
                            <w:rFonts w:eastAsia="Times New Roman" w:cs="Times New Roman"/>
                            <w:b/>
                            <w:bCs/>
                            <w:szCs w:val="28"/>
                            <w:lang w:eastAsia="ru-RU"/>
                          </w:rPr>
                          <w:t>Координаторами проекта являются</w:t>
                        </w: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 государственное учреждение образования «Гомельский областной институт развития образования» </w:t>
                        </w:r>
                        <w:r w:rsidRPr="008C43EB">
                          <w:rPr>
                            <w:rFonts w:eastAsia="Times New Roman" w:cs="Times New Roman"/>
                            <w:i/>
                            <w:iCs/>
                            <w:szCs w:val="28"/>
                            <w:lang w:eastAsia="ru-RU"/>
                          </w:rPr>
                          <w:t>(для учреждений общего среднего образования, учреждений образования областного подчинения),</w:t>
                        </w: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 государственное учреждение образования «Гомельский областной социально-педагогический центр» </w:t>
                        </w:r>
                        <w:r w:rsidRPr="008C43EB">
                          <w:rPr>
                            <w:rFonts w:eastAsia="Times New Roman" w:cs="Times New Roman"/>
                            <w:i/>
                            <w:iCs/>
                            <w:szCs w:val="28"/>
                            <w:lang w:eastAsia="ru-RU"/>
                          </w:rPr>
                          <w:t>(для социально- педагогических центров районов, г Гомеля), </w:t>
                        </w: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учреждение образования «Гомельский государственный областной учебно-методический центр профессионального образования»</w:t>
                        </w:r>
                        <w:r w:rsidRPr="008C43EB">
                          <w:rPr>
                            <w:rFonts w:eastAsia="Times New Roman" w:cs="Times New Roman"/>
                            <w:i/>
                            <w:iCs/>
                            <w:szCs w:val="28"/>
                            <w:lang w:eastAsia="ru-RU"/>
                          </w:rPr>
                          <w:t> (для учреждений профессионально-технического и среднего специального образования).</w:t>
                        </w:r>
                      </w:p>
                      <w:p w14:paraId="61A43447" w14:textId="77777777" w:rsidR="008C43EB" w:rsidRPr="008C43EB" w:rsidRDefault="008C43EB" w:rsidP="008C43EB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Примечание.</w:t>
                        </w:r>
                      </w:p>
                      <w:p w14:paraId="73767B68" w14:textId="77777777" w:rsidR="008C43EB" w:rsidRPr="008C43EB" w:rsidRDefault="008C43EB" w:rsidP="008C43EB">
                        <w:pPr>
                          <w:spacing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Cs w:val="28"/>
                            <w:lang w:eastAsia="ru-RU"/>
                          </w:rPr>
                          <w:t>В рамках реализации проект будет проводиться анкетирование по правовому просвещению. Материалы будут направлены дополнительно.</w:t>
                        </w:r>
                      </w:p>
                      <w:p w14:paraId="16A5385F" w14:textId="781251A1" w:rsidR="008C43EB" w:rsidRPr="008C43EB" w:rsidRDefault="008C43EB" w:rsidP="008C43EB">
                        <w:pPr>
                          <w:spacing w:before="100" w:beforeAutospacing="1" w:after="240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14:paraId="1458199C" w14:textId="503B868A" w:rsidR="008C43EB" w:rsidRPr="008C43EB" w:rsidRDefault="008C43EB" w:rsidP="008C43EB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 w:val="36"/>
                            <w:szCs w:val="36"/>
                            <w:lang w:eastAsia="ru-RU"/>
                          </w:rPr>
                          <w:lastRenderedPageBreak/>
                          <w:t>Приложение</w:t>
                        </w:r>
                      </w:p>
                      <w:p w14:paraId="12DB3943" w14:textId="77777777" w:rsidR="008C43EB" w:rsidRPr="008C43EB" w:rsidRDefault="008C43EB" w:rsidP="008C43EB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 w:val="36"/>
                            <w:szCs w:val="36"/>
                            <w:lang w:eastAsia="ru-RU"/>
                          </w:rPr>
                          <w:t>Примерная тематика мероприятий</w:t>
                        </w:r>
                      </w:p>
                      <w:p w14:paraId="7F306CAB" w14:textId="77777777" w:rsidR="008C43EB" w:rsidRPr="008C43EB" w:rsidRDefault="008C43EB" w:rsidP="008C43EB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 w:val="36"/>
                            <w:szCs w:val="36"/>
                            <w:lang w:eastAsia="ru-RU"/>
                          </w:rPr>
                          <w:t>в рамках проекта «Школа правового просвещения»</w:t>
                        </w:r>
                      </w:p>
                      <w:p w14:paraId="7FC5D833" w14:textId="5BCE1014" w:rsidR="008C43EB" w:rsidRDefault="008C43EB" w:rsidP="008C43EB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8C43EB">
                          <w:rPr>
                            <w:rFonts w:eastAsia="Times New Roman" w:cs="Times New Roman"/>
                            <w:sz w:val="36"/>
                            <w:szCs w:val="36"/>
                            <w:lang w:eastAsia="ru-RU"/>
                          </w:rPr>
                          <w:t>(1-ая декада каждого месяца)</w:t>
                        </w:r>
                      </w:p>
                      <w:p w14:paraId="0B4BBD57" w14:textId="77777777" w:rsidR="008C43EB" w:rsidRPr="008C43EB" w:rsidRDefault="008C43EB" w:rsidP="008C43EB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2"/>
                          <w:gridCol w:w="7816"/>
                        </w:tblGrid>
                        <w:tr w:rsidR="008C43EB" w:rsidRPr="008C43EB" w14:paraId="303205F1" w14:textId="77777777" w:rsidTr="00323583">
                          <w:trPr>
                            <w:trHeight w:val="325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640414EF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Месяц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0BA41122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Тема</w:t>
                              </w:r>
                            </w:p>
                          </w:tc>
                        </w:tr>
                        <w:tr w:rsidR="008C43EB" w:rsidRPr="008C43EB" w14:paraId="19738B3A" w14:textId="77777777" w:rsidTr="00323583">
                          <w:trPr>
                            <w:trHeight w:val="952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0A1AB80F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март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3E13D232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Обеспечение личной безопасности и сохранение здоровья </w:t>
                              </w:r>
                              <w:r w:rsidRPr="008C43EB">
                                <w:rPr>
                                  <w:rFonts w:eastAsia="Times New Roman" w:cs="Times New Roman"/>
                                  <w:i/>
                                  <w:iCs/>
                                  <w:szCs w:val="28"/>
                                  <w:lang w:eastAsia="ru-RU"/>
                                </w:rPr>
                                <w:t>(к Международному дню борьбы с наркоманией и наркобизнесом, 1 марта)</w:t>
                              </w:r>
                            </w:p>
                          </w:tc>
                        </w:tr>
                        <w:tr w:rsidR="008C43EB" w:rsidRPr="008C43EB" w14:paraId="5433EFFB" w14:textId="77777777" w:rsidTr="00323583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00B0F95B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апрель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205ABDE6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Я выби</w:t>
                              </w:r>
                              <w:bookmarkStart w:id="0" w:name="_GoBack"/>
                              <w:bookmarkEnd w:id="0"/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раю здоровье </w:t>
                              </w:r>
                              <w:r w:rsidRPr="008C43EB">
                                <w:rPr>
                                  <w:rFonts w:eastAsia="Times New Roman" w:cs="Times New Roman"/>
                                  <w:i/>
                                  <w:iCs/>
                                  <w:szCs w:val="28"/>
                                  <w:lang w:eastAsia="ru-RU"/>
                                </w:rPr>
                                <w:t>(ко Всемирному дню здоровья, 7 апреля)</w:t>
                              </w:r>
                            </w:p>
                          </w:tc>
                        </w:tr>
                        <w:tr w:rsidR="008C43EB" w:rsidRPr="008C43EB" w14:paraId="08D9698B" w14:textId="77777777" w:rsidTr="00323583">
                          <w:trPr>
                            <w:trHeight w:val="631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678A43D7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май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3E59748F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Мы против жестокого обращения с детьми! Профилактика насилия в семье </w:t>
                              </w:r>
                              <w:r w:rsidRPr="008C43EB">
                                <w:rPr>
                                  <w:rFonts w:eastAsia="Times New Roman" w:cs="Times New Roman"/>
                                  <w:i/>
                                  <w:iCs/>
                                  <w:szCs w:val="28"/>
                                  <w:lang w:eastAsia="ru-RU"/>
                                </w:rPr>
                                <w:t>(ко Всемирному Дню семьи)</w:t>
                              </w:r>
                            </w:p>
                          </w:tc>
                        </w:tr>
                        <w:tr w:rsidR="008C43EB" w:rsidRPr="008C43EB" w14:paraId="4B2EC076" w14:textId="77777777" w:rsidTr="00323583">
                          <w:trPr>
                            <w:trHeight w:val="622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17B2B9F0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июнь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3E93E7C2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Профилактика наркотической и алкогольной зависимости – залог здоровой нации</w:t>
                              </w:r>
                            </w:p>
                          </w:tc>
                        </w:tr>
                        <w:tr w:rsidR="008C43EB" w:rsidRPr="008C43EB" w14:paraId="3C262A57" w14:textId="77777777" w:rsidTr="00323583">
                          <w:trPr>
                            <w:trHeight w:val="943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5B9A578A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июль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4B1D3FD2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Противодействие торговли людьми и использованию рабского труда </w:t>
                              </w:r>
                              <w:r w:rsidRPr="008C43EB">
                                <w:rPr>
                                  <w:rFonts w:eastAsia="Times New Roman" w:cs="Times New Roman"/>
                                  <w:i/>
                                  <w:iCs/>
                                  <w:szCs w:val="28"/>
                                  <w:lang w:eastAsia="ru-RU"/>
                                </w:rPr>
                                <w:t>(ко Всемирному дню борьбы с торговлей людьми, 30 июля)</w:t>
                              </w:r>
                            </w:p>
                          </w:tc>
                        </w:tr>
                        <w:tr w:rsidR="008C43EB" w:rsidRPr="008C43EB" w14:paraId="57B3F00C" w14:textId="77777777" w:rsidTr="00323583">
                          <w:trPr>
                            <w:trHeight w:val="631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1F331749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август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06111088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Основные причины подростковой преступности и пути их решение</w:t>
                              </w:r>
                            </w:p>
                          </w:tc>
                        </w:tr>
                        <w:tr w:rsidR="008C43EB" w:rsidRPr="008C43EB" w14:paraId="4131F23A" w14:textId="77777777" w:rsidTr="00323583">
                          <w:trPr>
                            <w:trHeight w:val="948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2D0CD081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сентябрь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5FA7BE07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Социально-психологическая профилактика суицидального поведения среди молодежи </w:t>
                              </w:r>
                              <w:r w:rsidRPr="008C43EB">
                                <w:rPr>
                                  <w:rFonts w:eastAsia="Times New Roman" w:cs="Times New Roman"/>
                                  <w:i/>
                                  <w:iCs/>
                                  <w:szCs w:val="28"/>
                                  <w:lang w:eastAsia="ru-RU"/>
                                </w:rPr>
                                <w:t>(ко Всемирному дню предотвращения суицидов)</w:t>
                              </w:r>
                            </w:p>
                          </w:tc>
                        </w:tr>
                        <w:tr w:rsidR="008C43EB" w:rsidRPr="008C43EB" w14:paraId="0AD9D955" w14:textId="77777777" w:rsidTr="00323583">
                          <w:trPr>
                            <w:trHeight w:val="631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34267330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октябрь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421DC34B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Кибербуллинг</w:t>
                              </w:r>
                              <w:proofErr w:type="spellEnd"/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 xml:space="preserve"> как новая форма угрозы безопасности личности ребенка</w:t>
                              </w:r>
                            </w:p>
                          </w:tc>
                        </w:tr>
                        <w:tr w:rsidR="008C43EB" w:rsidRPr="008C43EB" w14:paraId="00FF49DE" w14:textId="77777777" w:rsidTr="00323583">
                          <w:trPr>
                            <w:trHeight w:val="631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6273577C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ноябрь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7DF0266E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Стресс и стрессоустойчивость. Как повысить стрессоустойчивость подростков</w:t>
                              </w:r>
                            </w:p>
                          </w:tc>
                        </w:tr>
                        <w:tr w:rsidR="008C43EB" w:rsidRPr="008C43EB" w14:paraId="46CDB2F7" w14:textId="77777777" w:rsidTr="00323583">
                          <w:trPr>
                            <w:trHeight w:val="310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5CC17F85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декабрь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0646022A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Буллинг</w:t>
                              </w:r>
                              <w:proofErr w:type="spellEnd"/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 xml:space="preserve"> в подростковой среде: причины и последствия</w:t>
                              </w:r>
                            </w:p>
                          </w:tc>
                        </w:tr>
                        <w:tr w:rsidR="008C43EB" w:rsidRPr="008C43EB" w14:paraId="058497AA" w14:textId="77777777" w:rsidTr="00323583">
                          <w:trPr>
                            <w:trHeight w:val="306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5C577FED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январь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23D38AE7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Профилактика конфликтов в молодежной среде</w:t>
                              </w:r>
                            </w:p>
                          </w:tc>
                        </w:tr>
                        <w:tr w:rsidR="008C43EB" w:rsidRPr="008C43EB" w14:paraId="007106B7" w14:textId="77777777" w:rsidTr="00323583">
                          <w:trPr>
                            <w:trHeight w:val="636"/>
                            <w:jc w:val="center"/>
                          </w:trPr>
                          <w:tc>
                            <w:tcPr>
                              <w:tcW w:w="1802" w:type="dxa"/>
                              <w:hideMark/>
                            </w:tcPr>
                            <w:p w14:paraId="4ABAFCC5" w14:textId="77777777" w:rsidR="008C43EB" w:rsidRPr="008C43EB" w:rsidRDefault="008C43EB" w:rsidP="008C43EB">
                              <w:pPr>
                                <w:spacing w:before="100" w:beforeAutospacing="1" w:after="240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февраль</w:t>
                              </w:r>
                            </w:p>
                          </w:tc>
                          <w:tc>
                            <w:tcPr>
                              <w:tcW w:w="7816" w:type="dxa"/>
                              <w:hideMark/>
                            </w:tcPr>
                            <w:p w14:paraId="027FEB42" w14:textId="77777777" w:rsidR="008C43EB" w:rsidRPr="008C43EB" w:rsidRDefault="008C43EB" w:rsidP="008C43EB">
                              <w:pPr>
                                <w:spacing w:after="0"/>
                                <w:ind w:left="57" w:right="57"/>
                                <w:jc w:val="both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C43EB">
                                <w:rPr>
                                  <w:rFonts w:eastAsia="Times New Roman" w:cs="Times New Roman"/>
                                  <w:szCs w:val="28"/>
                                  <w:lang w:eastAsia="ru-RU"/>
                                </w:rPr>
                                <w:t>Профилактика преступлений против половой неприкосновенности несовершеннолетних</w:t>
                              </w:r>
                            </w:p>
                          </w:tc>
                        </w:tr>
                      </w:tbl>
                      <w:p w14:paraId="0B1B55C1" w14:textId="77777777" w:rsidR="008C43EB" w:rsidRPr="008C43EB" w:rsidRDefault="008C43EB" w:rsidP="008C43EB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9AAE6AC" w14:textId="77777777" w:rsidR="008C43EB" w:rsidRPr="008C43EB" w:rsidRDefault="008C43EB" w:rsidP="008C43EB">
                  <w:pPr>
                    <w:shd w:val="clear" w:color="auto" w:fill="FFFFFF"/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C43E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14:paraId="04700EC7" w14:textId="77777777" w:rsidR="008C43EB" w:rsidRPr="008C43EB" w:rsidRDefault="008C43EB" w:rsidP="008C43EB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C43EB" w:rsidRPr="008C43EB" w14:paraId="08755D02" w14:textId="77777777" w:rsidTr="008C43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1BA0597" w14:textId="77777777" w:rsidR="008C43EB" w:rsidRPr="008C43EB" w:rsidRDefault="008C43EB" w:rsidP="008C43EB">
            <w:pPr>
              <w:spacing w:after="0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472566DA" w14:textId="77777777" w:rsidR="00F12C76" w:rsidRDefault="00F12C76" w:rsidP="006C0B77">
      <w:pPr>
        <w:spacing w:after="0"/>
        <w:ind w:firstLine="709"/>
        <w:jc w:val="both"/>
      </w:pPr>
    </w:p>
    <w:sectPr w:rsidR="00F12C76" w:rsidSect="008C43E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EB"/>
    <w:rsid w:val="00323583"/>
    <w:rsid w:val="006C0B77"/>
    <w:rsid w:val="008242FF"/>
    <w:rsid w:val="00870751"/>
    <w:rsid w:val="008C43EB"/>
    <w:rsid w:val="00922C48"/>
    <w:rsid w:val="009E65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F35D"/>
  <w15:chartTrackingRefBased/>
  <w15:docId w15:val="{9CE1E57E-E714-4ADE-A217-BDB8906A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3E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3EB"/>
    <w:rPr>
      <w:b/>
      <w:bCs/>
    </w:rPr>
  </w:style>
  <w:style w:type="character" w:customStyle="1" w:styleId="articleseparator">
    <w:name w:val="article_separator"/>
    <w:basedOn w:val="a0"/>
    <w:rsid w:val="008C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1138">
          <w:marLeft w:val="225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0" w:color="CFDFE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2020-03-31T07:22:00Z</dcterms:created>
  <dcterms:modified xsi:type="dcterms:W3CDTF">2020-03-31T07:34:00Z</dcterms:modified>
</cp:coreProperties>
</file>